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39DE" w:rsidRPr="003539DE" w:rsidRDefault="003539DE" w:rsidP="003539DE">
      <w:pPr>
        <w:tabs>
          <w:tab w:val="left" w:pos="108"/>
        </w:tabs>
        <w:spacing w:after="0" w:line="240" w:lineRule="auto"/>
        <w:jc w:val="both"/>
        <w:outlineLvl w:val="0"/>
        <w:rPr>
          <w:rFonts w:eastAsia="Calibri" w:cs="Times New Roman"/>
          <w:bCs/>
          <w:i/>
          <w:iCs/>
          <w:sz w:val="24"/>
          <w:szCs w:val="24"/>
          <w:u w:color="000000"/>
          <w:lang w:val="vi-VN"/>
        </w:rPr>
      </w:pPr>
      <w:bookmarkStart w:id="0" w:name="_Toc146465285"/>
      <w:bookmarkStart w:id="1" w:name="_Toc151380323"/>
      <w:r w:rsidRPr="003539DE">
        <w:rPr>
          <w:rFonts w:eastAsia="Calibri" w:cs="Times New Roman"/>
          <w:b/>
          <w:sz w:val="24"/>
          <w:szCs w:val="24"/>
          <w:u w:color="000000"/>
          <w:lang w:val="vi-VN"/>
        </w:rPr>
        <w:t xml:space="preserve">ỦY BAN LÂM THỜI CỦA QUỐC HỘI, </w:t>
      </w:r>
      <w:r w:rsidRPr="003539DE">
        <w:rPr>
          <w:rFonts w:eastAsia="Calibri" w:cs="Times New Roman"/>
          <w:szCs w:val="28"/>
          <w:u w:color="000000"/>
          <w:lang w:val="vi-VN"/>
        </w:rPr>
        <w:t>loại hình ủy ban do Quốc hội thành lập để giải quyết những nhiệm vụ đặc thù, đột xuất thuộc thẩm quyền của Quốc hội trong lĩnh vực lập pháp, giám sát tối cao và quyết định những vấn đề quan trọng của đất nước và chỉ hoạt động trong một khoảng thời gian giới hạn.</w:t>
      </w:r>
      <w:bookmarkEnd w:id="0"/>
      <w:bookmarkEnd w:id="1"/>
    </w:p>
    <w:p w:rsidR="003539DE" w:rsidRPr="003539DE" w:rsidRDefault="003539DE" w:rsidP="003539DE">
      <w:pPr>
        <w:spacing w:after="0" w:line="240" w:lineRule="auto"/>
        <w:ind w:firstLine="108"/>
        <w:jc w:val="both"/>
        <w:rPr>
          <w:rFonts w:eastAsia="Calibri" w:cs="Times New Roman"/>
          <w:spacing w:val="-6"/>
          <w:szCs w:val="28"/>
          <w:u w:color="000000"/>
          <w:lang w:val="vi-VN"/>
        </w:rPr>
      </w:pPr>
      <w:r w:rsidRPr="003539DE">
        <w:rPr>
          <w:rFonts w:eastAsia="Calibri" w:cs="Times New Roman"/>
          <w:szCs w:val="28"/>
          <w:u w:color="000000"/>
          <w:lang w:val="vi-VN"/>
        </w:rPr>
        <w:tab/>
      </w:r>
      <w:r w:rsidRPr="003539DE">
        <w:rPr>
          <w:rFonts w:eastAsia="Calibri" w:cs="Times New Roman"/>
          <w:spacing w:val="-6"/>
          <w:szCs w:val="28"/>
          <w:u w:color="000000"/>
          <w:lang w:val="vi-VN"/>
        </w:rPr>
        <w:t xml:space="preserve">Theo quy định của Hiến pháp và luật Tổ chức Quốc hội, UBLT được Quốc hội thành lập trong các trường hợp: 1) Thẩm tra dự án luật, dự thảo nghị quyết hoặc báo cáo, dự án khác do Uỷ ban thường vụ Quốc hội trình Quốc hội hoặc có nội dung liên quan đến lĩnh vực phụ trách của Hội đồng dân tộc và nhiều Uỷ ban của Quốc hội; 2) Điều tra làm rõ về một vấn đề cụ thể khi xét thấy cần thiết. </w:t>
      </w:r>
    </w:p>
    <w:p w:rsidR="003539DE" w:rsidRPr="003539DE" w:rsidRDefault="003539DE" w:rsidP="003539DE">
      <w:pPr>
        <w:spacing w:after="0" w:line="240" w:lineRule="auto"/>
        <w:ind w:firstLine="108"/>
        <w:jc w:val="both"/>
        <w:rPr>
          <w:rFonts w:eastAsia="Calibri" w:cs="Times New Roman"/>
          <w:szCs w:val="28"/>
          <w:u w:color="000000"/>
          <w:lang w:val="vi-VN"/>
        </w:rPr>
      </w:pPr>
      <w:r w:rsidRPr="003539DE">
        <w:rPr>
          <w:rFonts w:eastAsia="Calibri" w:cs="Times New Roman"/>
          <w:szCs w:val="28"/>
          <w:u w:color="000000"/>
          <w:lang w:val="vi-VN"/>
        </w:rPr>
        <w:tab/>
        <w:t>UBLT của Quốc hội là một cấu trúc tổ chức lâm thời do Quốc hội thành lập trong trong trường hợp cần thiết của một trong hai trường hợp nêu trên, vì vậy có các đặc tính sau: Tính đột xuất của việc thành lập; Tính giới hạn về thời gian hoạt động; Tính đặc biệt của nội dung công việc; Tính độc lập, khách quan trong tổ chức và hoạt động.</w:t>
      </w:r>
    </w:p>
    <w:p w:rsidR="003539DE" w:rsidRPr="003539DE" w:rsidRDefault="003539DE" w:rsidP="003539DE">
      <w:pPr>
        <w:spacing w:after="0" w:line="240" w:lineRule="auto"/>
        <w:ind w:firstLine="108"/>
        <w:jc w:val="both"/>
        <w:rPr>
          <w:rFonts w:eastAsia="Calibri" w:cs="Times New Roman"/>
          <w:szCs w:val="28"/>
          <w:u w:color="000000"/>
          <w:lang w:val="vi-VN"/>
        </w:rPr>
      </w:pPr>
      <w:r w:rsidRPr="003539DE">
        <w:rPr>
          <w:rFonts w:eastAsia="Calibri" w:cs="Times New Roman"/>
          <w:szCs w:val="28"/>
          <w:u w:color="000000"/>
          <w:lang w:val="vi-VN"/>
        </w:rPr>
        <w:tab/>
        <w:t xml:space="preserve">Khi xét thấy cần thiết, Hội đồng dân tộc, Uỷ ban của Quốc hội, Đại biểu Quốc hội có quyền đề nghị Uỷ ban thường vụ Quốc hội trình Quốc hội thành lập UBLT. Theo đề nghị của Hội đồng dân tộc, Uỷ ban của Quốc hội hoặc ít nhất một phần ba tổng số đại biểu Quốc hội, Uỷ ban thường vụ Quốc hội trình Quốc hội xem xét thành lập UBLT. </w:t>
      </w:r>
    </w:p>
    <w:p w:rsidR="003539DE" w:rsidRPr="003539DE" w:rsidRDefault="003539DE" w:rsidP="003539DE">
      <w:pPr>
        <w:spacing w:after="0" w:line="240" w:lineRule="auto"/>
        <w:ind w:firstLine="108"/>
        <w:jc w:val="both"/>
        <w:rPr>
          <w:rFonts w:eastAsia="Calibri" w:cs="Times New Roman"/>
          <w:szCs w:val="28"/>
          <w:u w:color="000000"/>
          <w:lang w:val="vi-VN"/>
        </w:rPr>
      </w:pPr>
      <w:r w:rsidRPr="003539DE">
        <w:rPr>
          <w:rFonts w:eastAsia="Calibri" w:cs="Times New Roman"/>
          <w:szCs w:val="28"/>
          <w:u w:color="000000"/>
          <w:lang w:val="vi-VN"/>
        </w:rPr>
        <w:tab/>
        <w:t xml:space="preserve">Cơ cấu tổ chức của UBLT gồm Chủ nhiệm, các Phó Chủ nhiệm và các thành viên. Thành viên của UBLT được lựa chọn trong số các đại biểu Quốc hội. Thành phần, số lượng thành viên, nhiệm vụ, quyền hạn cụ thể của UBLT do Quốc hội quyết định theo đề nghị của Uỷ ban thường vụ Quốc hội </w:t>
      </w:r>
    </w:p>
    <w:p w:rsidR="003539DE" w:rsidRPr="003539DE" w:rsidRDefault="003539DE" w:rsidP="003539DE">
      <w:pPr>
        <w:spacing w:after="0" w:line="240" w:lineRule="auto"/>
        <w:ind w:firstLine="108"/>
        <w:jc w:val="both"/>
        <w:rPr>
          <w:rFonts w:eastAsia="Calibri" w:cs="Times New Roman"/>
          <w:szCs w:val="28"/>
          <w:u w:color="000000"/>
          <w:lang w:val="vi-VN"/>
        </w:rPr>
      </w:pPr>
      <w:r w:rsidRPr="003539DE">
        <w:rPr>
          <w:rFonts w:eastAsia="Calibri" w:cs="Times New Roman"/>
          <w:szCs w:val="28"/>
          <w:u w:color="000000"/>
          <w:lang w:val="vi-VN"/>
        </w:rPr>
        <w:tab/>
        <w:t>UBLT hoạt động theo chế độ tập thể, quyết định theo đa số. Các hình thức hoạt động chủ yếu của UBLT là các phiên họp, các phiên giải trình, tham vấn chuyên gia, các hoạt động điều tra, khảo sát…</w:t>
      </w:r>
    </w:p>
    <w:p w:rsidR="003539DE" w:rsidRPr="003539DE" w:rsidRDefault="003539DE" w:rsidP="003539DE">
      <w:pPr>
        <w:spacing w:after="0" w:line="240" w:lineRule="auto"/>
        <w:ind w:firstLine="108"/>
        <w:jc w:val="both"/>
        <w:rPr>
          <w:rFonts w:eastAsia="Calibri" w:cs="Times New Roman"/>
          <w:szCs w:val="28"/>
          <w:u w:color="000000"/>
          <w:lang w:val="vi-VN"/>
        </w:rPr>
      </w:pPr>
      <w:r w:rsidRPr="003539DE">
        <w:rPr>
          <w:rFonts w:eastAsia="Calibri" w:cs="Times New Roman"/>
          <w:szCs w:val="28"/>
          <w:u w:color="000000"/>
          <w:lang w:val="vi-VN"/>
        </w:rPr>
        <w:tab/>
        <w:t>UBLT báo cáo Uỷ ban thường vụ Quốc hội, Quốc hội về kết quả thực hiện nhiệm vụ, quyền hạn được Quốc hội giao. Báo cáo thẩm tra dự án luật, dự án nghị quyết, dự án khác do UBLT thực hiện được trình bày trước Quốc hội theo quy định của Luật ban hành văn bản quy phạm pháp luật. Báo cáo kết quả điều tra của UBLT phải được Hội đồng dân tộc hoặc Uỷ ban của Quốc hội thẩm tra. Quốc hội xem xét và ra nghị quyết về kết quả điều tra của UBLT</w:t>
      </w:r>
    </w:p>
    <w:p w:rsidR="003539DE" w:rsidRPr="003539DE" w:rsidRDefault="003539DE" w:rsidP="003539DE">
      <w:pPr>
        <w:spacing w:after="0" w:line="240" w:lineRule="auto"/>
        <w:ind w:firstLine="108"/>
        <w:jc w:val="both"/>
        <w:rPr>
          <w:rFonts w:eastAsia="Calibri" w:cs="Times New Roman"/>
          <w:szCs w:val="28"/>
          <w:u w:color="000000"/>
          <w:lang w:val="vi-VN"/>
        </w:rPr>
      </w:pPr>
      <w:r w:rsidRPr="003539DE">
        <w:rPr>
          <w:rFonts w:eastAsia="Calibri" w:cs="Times New Roman"/>
          <w:szCs w:val="28"/>
          <w:u w:color="000000"/>
          <w:lang w:val="vi-VN"/>
        </w:rPr>
        <w:tab/>
        <w:t>UBLT chấm dứt hoạt động sau khi đã hoàn thành nhiệm vụ.</w:t>
      </w:r>
    </w:p>
    <w:p w:rsidR="003539DE" w:rsidRPr="003539DE" w:rsidRDefault="003539DE" w:rsidP="003539DE">
      <w:pPr>
        <w:spacing w:after="0" w:line="240" w:lineRule="auto"/>
        <w:ind w:firstLine="108"/>
        <w:jc w:val="both"/>
        <w:rPr>
          <w:rFonts w:eastAsia="Calibri" w:cs="Times New Roman"/>
          <w:szCs w:val="28"/>
          <w:u w:color="000000"/>
          <w:lang w:val="vi-VN"/>
        </w:rPr>
      </w:pPr>
      <w:r w:rsidRPr="003539DE">
        <w:rPr>
          <w:rFonts w:eastAsia="Calibri" w:cs="Times New Roman"/>
          <w:szCs w:val="28"/>
          <w:u w:color="000000"/>
          <w:lang w:val="vi-VN"/>
        </w:rPr>
        <w:tab/>
        <w:t xml:space="preserve">UBLT khi được thành lập có vai trò quan trọng trong việc đảm bảo sự chủ động, linh hoạt, đáp ứng nhanh, kịp thời trong hoạt động của Quốc hội trước nhu cầu của thực tiễn. Vai trò này được xác định trên các phương diện sau: 1) Việc thành lập UBLT cho phép duy trì sự ổn định cần thiết về cơ cấu tổ chức của Quốc hội mà vẫn đáp ứng được nhu cầu của công việc, từ đó hạn chế được sự “phình to” về bộ máy, tiết kiệm được nguồn lực; 2) Tạo cơ chế linh động, hiệu quả để giải quyết kịp thời công việc phát sinh, bất thường mà vẫn đảm bảo các nguyên tắc hoạt động của Quốc hội, đặc biệt đối với những vụ việc phức tạp, nhạy cảm; 3) Hạn chế được nguy cơ xung đột, chồng chéo về thẩm quyền hoặc “bỏ trống” công việc của Quốc hội; 4 ) Tận dụng, huy động và phát huy được tối đa năng lực chuyên môn và kinh nghiệm công tác của đại biểu Quốc hội, đồng thời tạo cơ chế để thu hút sự tham gia của các chuyên gia ,các nhà khoa học không phải là đại </w:t>
      </w:r>
      <w:r w:rsidRPr="003539DE">
        <w:rPr>
          <w:rFonts w:eastAsia="Calibri" w:cs="Times New Roman"/>
          <w:szCs w:val="28"/>
          <w:u w:color="000000"/>
          <w:lang w:val="vi-VN"/>
        </w:rPr>
        <w:lastRenderedPageBreak/>
        <w:t>biểu Quốc hội…Chế định UBLT được quy định trong tất cả các bản Hiến pháp và được cụ thể hóa trong các đạo luật về Tổ chức Quốc hội của Việt Nam.</w:t>
      </w:r>
    </w:p>
    <w:p w:rsidR="003539DE" w:rsidRPr="003539DE" w:rsidRDefault="003539DE" w:rsidP="003539DE">
      <w:pPr>
        <w:spacing w:after="0" w:line="240" w:lineRule="auto"/>
        <w:ind w:firstLine="108"/>
        <w:jc w:val="right"/>
        <w:rPr>
          <w:rFonts w:eastAsia="Calibri" w:cs="Times New Roman"/>
          <w:b/>
          <w:bCs/>
          <w:sz w:val="24"/>
          <w:szCs w:val="24"/>
          <w:u w:color="000000"/>
          <w:lang w:val="vi-VN"/>
        </w:rPr>
      </w:pPr>
      <w:r w:rsidRPr="003539DE">
        <w:rPr>
          <w:rFonts w:eastAsia="Calibri" w:cs="Times New Roman"/>
          <w:b/>
          <w:bCs/>
          <w:u w:color="000000"/>
          <w:lang w:val="vi-VN"/>
        </w:rPr>
        <w:t xml:space="preserve">                                                                   </w:t>
      </w:r>
      <w:r w:rsidRPr="003539DE">
        <w:rPr>
          <w:rFonts w:eastAsia="Calibri" w:cs="Times New Roman"/>
          <w:b/>
          <w:bCs/>
          <w:sz w:val="24"/>
          <w:szCs w:val="24"/>
          <w:u w:color="000000"/>
          <w:lang w:val="vi-VN"/>
        </w:rPr>
        <w:t xml:space="preserve">LÊ MINH THÔNG </w:t>
      </w:r>
    </w:p>
    <w:p w:rsidR="003539DE" w:rsidRPr="003539DE" w:rsidRDefault="003539DE" w:rsidP="003539DE">
      <w:pPr>
        <w:spacing w:after="0" w:line="240" w:lineRule="auto"/>
        <w:jc w:val="both"/>
        <w:rPr>
          <w:rFonts w:eastAsia="Calibri" w:cs="Times New Roman"/>
          <w:b/>
          <w:bCs/>
          <w:sz w:val="24"/>
          <w:szCs w:val="24"/>
          <w:u w:color="000000"/>
          <w:lang w:val="vi-VN"/>
        </w:rPr>
      </w:pPr>
      <w:r w:rsidRPr="003539DE">
        <w:rPr>
          <w:rFonts w:eastAsia="Calibri" w:cs="Times New Roman"/>
          <w:b/>
          <w:bCs/>
          <w:sz w:val="24"/>
          <w:szCs w:val="24"/>
          <w:u w:color="000000"/>
          <w:lang w:val="vi-VN"/>
        </w:rPr>
        <w:t>Tài liệu tham khảo:</w:t>
      </w:r>
    </w:p>
    <w:p w:rsidR="003539DE" w:rsidRPr="003539DE" w:rsidRDefault="003539DE" w:rsidP="003539DE">
      <w:pPr>
        <w:spacing w:after="0" w:line="240" w:lineRule="auto"/>
        <w:jc w:val="both"/>
        <w:rPr>
          <w:rFonts w:eastAsia="Calibri" w:cs="Times New Roman"/>
          <w:sz w:val="24"/>
          <w:szCs w:val="24"/>
          <w:u w:color="000000"/>
          <w:lang w:val="vi-VN"/>
        </w:rPr>
      </w:pPr>
      <w:r w:rsidRPr="003539DE">
        <w:rPr>
          <w:rFonts w:eastAsia="Calibri" w:cs="Times New Roman"/>
          <w:sz w:val="24"/>
          <w:szCs w:val="24"/>
          <w:u w:color="000000"/>
          <w:lang w:val="vi-VN"/>
        </w:rPr>
        <w:t xml:space="preserve">1 </w:t>
      </w:r>
      <w:r w:rsidRPr="003539DE">
        <w:rPr>
          <w:rFonts w:eastAsia="Calibri" w:cs="Times New Roman"/>
          <w:i/>
          <w:iCs/>
          <w:sz w:val="24"/>
          <w:szCs w:val="24"/>
          <w:u w:color="000000"/>
          <w:lang w:val="vi-VN"/>
        </w:rPr>
        <w:t>Hiến pháp nước Cộng hòa xã hội chủ nghĩa Việt Nam</w:t>
      </w:r>
      <w:r w:rsidRPr="003539DE">
        <w:rPr>
          <w:rFonts w:eastAsia="Calibri" w:cs="Times New Roman"/>
          <w:sz w:val="24"/>
          <w:szCs w:val="24"/>
          <w:u w:color="000000"/>
          <w:lang w:val="vi-VN"/>
        </w:rPr>
        <w:t>, Nxb. Chính trị quốc gia Sự thật, Hà Nội, 2013.</w:t>
      </w:r>
    </w:p>
    <w:p w:rsidR="003539DE" w:rsidRPr="003539DE" w:rsidRDefault="003539DE" w:rsidP="003539DE">
      <w:pPr>
        <w:spacing w:after="0" w:line="240" w:lineRule="auto"/>
        <w:jc w:val="both"/>
        <w:rPr>
          <w:rFonts w:eastAsia="Calibri" w:cs="Times New Roman"/>
          <w:sz w:val="24"/>
          <w:szCs w:val="24"/>
          <w:u w:color="000000"/>
          <w:lang w:val="vi-VN"/>
        </w:rPr>
      </w:pPr>
      <w:r w:rsidRPr="003539DE">
        <w:rPr>
          <w:rFonts w:eastAsia="Calibri" w:cs="Times New Roman"/>
          <w:sz w:val="24"/>
          <w:szCs w:val="24"/>
          <w:u w:color="000000"/>
          <w:lang w:val="vi-VN"/>
        </w:rPr>
        <w:t xml:space="preserve">2. </w:t>
      </w:r>
      <w:r w:rsidRPr="003539DE">
        <w:rPr>
          <w:rFonts w:eastAsia="Calibri" w:cs="Times New Roman"/>
          <w:i/>
          <w:iCs/>
          <w:sz w:val="24"/>
          <w:szCs w:val="24"/>
          <w:u w:color="000000"/>
          <w:lang w:val="vi-VN"/>
        </w:rPr>
        <w:t>Luật Tổ chức Quốc hội số 57/2014 QH13</w:t>
      </w:r>
      <w:r w:rsidRPr="003539DE">
        <w:rPr>
          <w:rFonts w:eastAsia="Calibri" w:cs="Times New Roman"/>
          <w:sz w:val="24"/>
          <w:szCs w:val="24"/>
          <w:u w:color="000000"/>
          <w:lang w:val="vi-VN"/>
        </w:rPr>
        <w:t>.</w:t>
      </w:r>
    </w:p>
    <w:p w:rsidR="003539DE" w:rsidRPr="003539DE" w:rsidRDefault="003539DE" w:rsidP="003539DE">
      <w:pPr>
        <w:spacing w:after="0" w:line="240" w:lineRule="auto"/>
        <w:jc w:val="both"/>
        <w:rPr>
          <w:rFonts w:eastAsia="Calibri" w:cs="Times New Roman"/>
          <w:sz w:val="24"/>
          <w:szCs w:val="24"/>
          <w:u w:color="000000"/>
          <w:lang w:val="vi-VN"/>
        </w:rPr>
      </w:pPr>
      <w:r w:rsidRPr="003539DE">
        <w:rPr>
          <w:rFonts w:eastAsia="Calibri" w:cs="Times New Roman"/>
          <w:sz w:val="24"/>
          <w:szCs w:val="24"/>
          <w:u w:color="000000"/>
          <w:lang w:val="vi-VN"/>
        </w:rPr>
        <w:t xml:space="preserve">3. Đỗ Minh Khôi, </w:t>
      </w:r>
      <w:r w:rsidRPr="003539DE">
        <w:rPr>
          <w:rFonts w:eastAsia="Calibri" w:cs="Times New Roman"/>
          <w:i/>
          <w:sz w:val="24"/>
          <w:szCs w:val="24"/>
          <w:u w:color="000000"/>
          <w:lang w:val="vi-VN"/>
        </w:rPr>
        <w:t>Uỷ ban lâm thời – Những vấn đề lý luận và thực tiễn</w:t>
      </w:r>
      <w:r w:rsidRPr="003539DE">
        <w:rPr>
          <w:rFonts w:eastAsia="Calibri" w:cs="Times New Roman"/>
          <w:sz w:val="24"/>
          <w:szCs w:val="24"/>
          <w:u w:color="000000"/>
          <w:lang w:val="vi-VN"/>
        </w:rPr>
        <w:t xml:space="preserve">, Tạp chí </w:t>
      </w:r>
      <w:r w:rsidRPr="003539DE">
        <w:rPr>
          <w:rFonts w:eastAsia="Calibri" w:cs="Times New Roman"/>
          <w:iCs/>
          <w:sz w:val="24"/>
          <w:szCs w:val="24"/>
          <w:u w:color="000000"/>
          <w:lang w:val="vi-VN"/>
        </w:rPr>
        <w:t>Tổ chức nhà nước</w:t>
      </w:r>
      <w:r w:rsidRPr="003539DE">
        <w:rPr>
          <w:rFonts w:eastAsia="Calibri" w:cs="Times New Roman"/>
          <w:sz w:val="24"/>
          <w:szCs w:val="24"/>
          <w:u w:color="000000"/>
          <w:lang w:val="vi-VN"/>
        </w:rPr>
        <w:t>, số 10/2014.</w:t>
      </w:r>
    </w:p>
    <w:p w:rsidR="003539DE" w:rsidRPr="003539DE" w:rsidRDefault="003539DE" w:rsidP="003539DE">
      <w:pPr>
        <w:tabs>
          <w:tab w:val="left" w:pos="108"/>
        </w:tabs>
        <w:spacing w:after="0" w:line="240" w:lineRule="auto"/>
        <w:jc w:val="both"/>
        <w:rPr>
          <w:rFonts w:eastAsia="Calibri" w:cs="Times New Roman"/>
          <w:sz w:val="24"/>
          <w:szCs w:val="24"/>
          <w:u w:color="000000"/>
          <w:lang w:val="vi-VN"/>
        </w:rPr>
      </w:pPr>
      <w:r w:rsidRPr="003539DE">
        <w:rPr>
          <w:rFonts w:eastAsia="Calibri" w:cs="Times New Roman"/>
          <w:sz w:val="24"/>
          <w:szCs w:val="24"/>
          <w:u w:color="000000"/>
          <w:lang w:val="vi-VN"/>
        </w:rPr>
        <w:t xml:space="preserve">4. Đỗ Tiến Dũng, </w:t>
      </w:r>
      <w:r w:rsidRPr="003539DE">
        <w:rPr>
          <w:rFonts w:eastAsia="Calibri" w:cs="Times New Roman"/>
          <w:i/>
          <w:sz w:val="24"/>
          <w:szCs w:val="24"/>
          <w:u w:color="000000"/>
          <w:lang w:val="vi-VN"/>
        </w:rPr>
        <w:t>Một số vấn đề lý luận và thực tiễn về Uỷ ban lâm thời của Nghị viện</w:t>
      </w:r>
      <w:r w:rsidRPr="003539DE">
        <w:rPr>
          <w:rFonts w:eastAsia="Calibri" w:cs="Times New Roman"/>
          <w:sz w:val="24"/>
          <w:szCs w:val="24"/>
          <w:u w:color="000000"/>
          <w:lang w:val="vi-VN"/>
        </w:rPr>
        <w:t xml:space="preserve">, Tạp chí </w:t>
      </w:r>
      <w:r w:rsidRPr="003539DE">
        <w:rPr>
          <w:rFonts w:eastAsia="Calibri" w:cs="Times New Roman"/>
          <w:iCs/>
          <w:sz w:val="24"/>
          <w:szCs w:val="24"/>
          <w:u w:color="000000"/>
          <w:lang w:val="vi-VN"/>
        </w:rPr>
        <w:t>Nghiên cứu Lập pháp</w:t>
      </w:r>
      <w:r w:rsidRPr="003539DE">
        <w:rPr>
          <w:rFonts w:eastAsia="Calibri" w:cs="Times New Roman"/>
          <w:sz w:val="24"/>
          <w:szCs w:val="24"/>
          <w:u w:color="000000"/>
          <w:lang w:val="vi-VN"/>
        </w:rPr>
        <w:t>, số 13/2013.</w:t>
      </w:r>
    </w:p>
    <w:p w:rsidR="00F3618D" w:rsidRDefault="00F3618D">
      <w:bookmarkStart w:id="2" w:name="_GoBack"/>
      <w:bookmarkEnd w:id="2"/>
    </w:p>
    <w:sectPr w:rsidR="00F3618D" w:rsidSect="0090568D">
      <w:pgSz w:w="11907" w:h="16840" w:code="9"/>
      <w:pgMar w:top="1134" w:right="1134" w:bottom="1134" w:left="1701"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39DE"/>
    <w:rsid w:val="002133F0"/>
    <w:rsid w:val="003539DE"/>
    <w:rsid w:val="004B574E"/>
    <w:rsid w:val="00775E1E"/>
    <w:rsid w:val="0090568D"/>
    <w:rsid w:val="00B93CAB"/>
    <w:rsid w:val="00F361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0E30F3-7684-4EF9-A31C-C13A8DC63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577</Words>
  <Characters>3294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 Huyen</dc:creator>
  <cp:keywords/>
  <dc:description/>
  <cp:lastModifiedBy>Thu Huyen</cp:lastModifiedBy>
  <cp:revision>1</cp:revision>
  <dcterms:created xsi:type="dcterms:W3CDTF">2025-12-08T07:21:00Z</dcterms:created>
  <dcterms:modified xsi:type="dcterms:W3CDTF">2025-12-08T07:21:00Z</dcterms:modified>
</cp:coreProperties>
</file>